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61"/>
        <w:gridCol w:w="4245"/>
      </w:tblGrid>
      <w:tr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[Tu logo] NOMBRE DE TU NEGOCIO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RUC: 20XXXXXXXXX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Dirección: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Teléfono / WhatsApp: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Correo:</w:t>
            </w:r>
          </w:p>
        </w:tc>
        <w:tc>
          <w:tcPr>
            <w:tcW w:type="dxa" w:w="4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COTIZACIÓN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71717A"/>
                <w:sz w:val="15"/>
                <w:szCs w:val="15"/>
              </w:rPr>
              <w:t xml:space="preserve">Documento informativo: no es comprobante de pago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N.º: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COT-0001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Fecha: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__/__/____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Válida hasta: </w:t>
            </w: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__/__/____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234"/>
        <w:gridCol w:w="6872"/>
      </w:tblGrid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Cliente (nombre o razón social)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RUC / DNI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Dirección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Atención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910"/>
        <w:gridCol w:w="1213"/>
        <w:gridCol w:w="4548"/>
        <w:gridCol w:w="1314"/>
        <w:gridCol w:w="808"/>
        <w:gridCol w:w="1314"/>
      </w:tblGrid>
      <w:tr>
        <w:trPr>
          <w:tblHeader/>
        </w:trPr>
        <w:tc>
          <w:tcPr>
            <w:tcW w:type="dxa" w:w="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P. unit.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Dscto.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Taladro percutor 750 W con maletín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289.90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579.80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20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Cemento Portland tipo I (bolsa 42.5 kg)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31.80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5 %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604.20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1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Servicio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Flete a obra en Lima Metropolitana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60.00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60.00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A1A1AA"/>
          <w:sz w:val="14"/>
          <w:szCs w:val="14"/>
        </w:rPr>
        <w:t xml:space="preserve">Ejemplo con precios que incluyen IGV: operación gravada = total ÷ 1.18. Reemplaza o borra las filas de ejemplo.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58"/>
        <w:gridCol w:w="2527"/>
        <w:gridCol w:w="2021"/>
      </w:tblGrid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Operación gravada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1,054.24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IGV (18 %)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189.76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021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6"/>
                <w:szCs w:val="26"/>
              </w:rPr>
              <w:t xml:space="preserve">S/ 1,244.00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032"/>
        <w:gridCol w:w="7074"/>
      </w:tblGrid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Forma de pago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Contado: efectivo, Yape, Plin o transferencia</w:t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Plazo de entrega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Garantía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Banco / Cuenta / CCI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Observaciones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0" w:before="240"/>
      </w:pPr>
      <w:r>
        <w:rPr>
          <w:rFonts w:ascii="Arial" w:cs="Arial" w:eastAsia="Arial" w:hAnsi="Arial"/>
          <w:color w:val="71717A"/>
          <w:sz w:val="15"/>
          <w:szCs w:val="15"/>
        </w:rPr>
        <w:t xml:space="preserve">Este documento es una cotización de carácter informativo y no constituye comprobante de pago según el Reglamento de Comprobantes de Pago (R. S. N.° 007-99/SUNAT). Los precios se mantienen durante el plazo de vigencia indicado. Al confirmar la compra se emitirá la boleta o factura correspondiente.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4"/>
        <w:gridCol w:w="1011"/>
        <w:gridCol w:w="3032"/>
      </w:tblGrid>
      <w:tr>
        <w:tc>
          <w:tcPr>
            <w:tcW w:type="dxa" w:w="6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Conformidad del cliente: nombre y firma</w:t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Fecha de aceptación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A1A1AA"/>
        <w:sz w:val="14"/>
        <w:szCs w:val="14"/>
      </w:rPr>
      <w:t xml:space="preserve">Plantilla gratuita de </w:t>
    </w:r>
    <w:hyperlink w:history="1" r:id="rIdzscith2rzldehrqzm9nwn">
      <w:r>
        <w:rPr>
          <w:rFonts w:ascii="Arial" w:cs="Arial" w:eastAsia="Arial" w:hAnsi="Arial"/>
          <w:color w:val="A1A1AA"/>
          <w:sz w:val="14"/>
          <w:szCs w:val="14"/>
        </w:rPr>
        <w:t xml:space="preserve">invyperu.com</w:t>
      </w:r>
    </w:hyperlink>
    <w:r>
      <w:rPr>
        <w:rFonts w:ascii="Arial" w:cs="Arial" w:eastAsia="Arial" w:hAnsi="Arial"/>
        <w:color w:val="A1A1AA"/>
        <w:sz w:val="14"/>
        <w:szCs w:val="14"/>
      </w:rPr>
      <w:t xml:space="preserve"> · puedes borrar esta línea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cith2rzldehrqzm9nwn" Type="http://schemas.openxmlformats.org/officeDocument/2006/relationships/hyperlink" Target="https://www.invyperu.com/herramientas/cotizacion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cotización</dc:title>
  <dc:creator>INVY (invyperu.com)</dc:creator>
  <cp:lastModifiedBy>Un-named</cp:lastModifiedBy>
  <cp:revision>1</cp:revision>
  <dcterms:created xsi:type="dcterms:W3CDTF">2026-09-24T11:52:19.168Z</dcterms:created>
  <dcterms:modified xsi:type="dcterms:W3CDTF">2026-09-24T11:52:19.168Z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